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bCs/>
          <w:sz w:val="28"/>
          <w:szCs w:val="28"/>
        </w:rPr>
        <w:t xml:space="preserve">11 </w:t>
      </w:r>
      <w:r w:rsidRPr="0036441E">
        <w:rPr>
          <w:rFonts w:ascii="Times New Roman" w:hAnsi="Times New Roman" w:cs="Times New Roman"/>
          <w:sz w:val="28"/>
          <w:szCs w:val="28"/>
        </w:rPr>
        <w:t>РАЗРАБОТКА СТРАТЕГИИ НА КОРПОРАТИВНОМ УРОВНЕ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441E">
        <w:rPr>
          <w:rFonts w:ascii="Times New Roman" w:hAnsi="Times New Roman" w:cs="Times New Roman"/>
          <w:b/>
          <w:bCs/>
          <w:sz w:val="28"/>
          <w:szCs w:val="28"/>
        </w:rPr>
        <w:t xml:space="preserve">11.1 Роль и оценка преимуществ диверсификации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441E">
        <w:rPr>
          <w:rFonts w:ascii="Times New Roman" w:hAnsi="Times New Roman" w:cs="Times New Roman"/>
          <w:b/>
          <w:bCs/>
          <w:sz w:val="28"/>
          <w:szCs w:val="28"/>
        </w:rPr>
        <w:t>11.1.1 Понятие и преимущества диверсификации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Диверси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фикация (от лат. </w:t>
      </w:r>
      <w:r w:rsidRPr="0036441E">
        <w:rPr>
          <w:rFonts w:ascii="Times New Roman" w:hAnsi="Times New Roman" w:cs="Times New Roman"/>
          <w:sz w:val="28"/>
          <w:szCs w:val="28"/>
          <w:lang w:val="en-US"/>
        </w:rPr>
        <w:t>diversificatio</w:t>
      </w:r>
      <w:r w:rsidRPr="0036441E">
        <w:rPr>
          <w:rFonts w:ascii="Times New Roman" w:hAnsi="Times New Roman" w:cs="Times New Roman"/>
          <w:sz w:val="28"/>
          <w:szCs w:val="28"/>
        </w:rPr>
        <w:t xml:space="preserve"> — изменение, разнообра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зие) — это распространение хозяйственной деятельности на но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вые сферы (расширение ассортимента производимых изделий, видов предоставляемых услуг, географической сферы деятель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ности и т.д.).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В узком смысле слова под диверсификацией по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нимается проникновение предприятий в отрасли, не имеющие прямой производственной связи или функциональной зависимо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сти от основной их деятельности. В результате диверсифика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ции предприятия превращаются в сложные многоотраслевые комплексы.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Считается, что, предлагая целый комплекс товаров и услуг, предприятие может повысить конкурентоспособность и ослабить возможные риски за счет устранения жесткой зависимости от ка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кого-либо одного товара или рынка.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Основным преимуществом диверсификации является воз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можность получения крупными предприятиями дополнительно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го эффекта от разнообразия.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 xml:space="preserve">Суть данного эффекта заключается в том, что производство многих видов продукции в рамках одного крупного предприятия выгоднее, чем производство тех же видов товаров на небольших специализированных предприятиях.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Основные источники эффек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та разнообразия: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- многоцелевое совместное использование производственных мощностей;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- концентрация сбытовой сети (товары и услуги продаются че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рез единую сеть, не обязательно совместную);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- возможность передачи информации, знаний, технического и управленческого опыта от одних производств к другим;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- многосторонняя подготовка работников и разнообразие по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лучения ими информации.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Вместе с тем диверсификация требует от высшего руковод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ства концентрации усилий на многих сферах деятельности и ослабляет контроль за ситуацией на конкретном рынке, это мо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жет привести к ослаблению конкурентной позиции предприятия. Затраты на вхождение в новую отрасль могут быть достаточно велики и снизить размер предполагаемой прибыли. Поэтому не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обходимо говорить о рациональном характере диверсификации.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441E">
        <w:rPr>
          <w:rFonts w:ascii="Times New Roman" w:hAnsi="Times New Roman" w:cs="Times New Roman"/>
          <w:b/>
          <w:bCs/>
          <w:sz w:val="28"/>
          <w:szCs w:val="28"/>
        </w:rPr>
        <w:t>11.1.2 Целесообразность диверсификации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Диверсифика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ция не должна становиться стратегически приоритетной до тех пор, пока предприятие не исчерпает всех возможностей для ро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ста в своей сфере деятельности.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 рисунке 11.1</w:t>
      </w:r>
      <w:r w:rsidRPr="0036441E">
        <w:rPr>
          <w:rFonts w:ascii="Times New Roman" w:hAnsi="Times New Roman" w:cs="Times New Roman"/>
          <w:sz w:val="28"/>
          <w:szCs w:val="28"/>
        </w:rPr>
        <w:t xml:space="preserve"> представлены различные варианты поведения не-диверсифицированной компании в зависимости от занимаемой ею конкурентной позиции и темпов роста рынка.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500468" cy="4751154"/>
            <wp:effectExtent l="19050" t="0" r="498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782" cy="475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Рисунок 11.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36441E">
        <w:rPr>
          <w:rFonts w:ascii="Times New Roman" w:hAnsi="Times New Roman" w:cs="Times New Roman"/>
          <w:sz w:val="28"/>
          <w:szCs w:val="28"/>
        </w:rPr>
        <w:t xml:space="preserve"> - Возможные корпоративные стратегии, соответствующие положению на рынке недиверсифицированной компании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Так, из схемы  (рис. 11.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36441E">
        <w:rPr>
          <w:rFonts w:ascii="Times New Roman" w:hAnsi="Times New Roman" w:cs="Times New Roman"/>
          <w:sz w:val="28"/>
          <w:szCs w:val="28"/>
        </w:rPr>
        <w:t>) видно, что при сильной позиции в конкурен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ции и высоких темпах роста рынка (</w:t>
      </w:r>
      <w:r w:rsidRPr="0036441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6441E">
        <w:rPr>
          <w:rFonts w:ascii="Times New Roman" w:hAnsi="Times New Roman" w:cs="Times New Roman"/>
          <w:sz w:val="28"/>
          <w:szCs w:val="28"/>
        </w:rPr>
        <w:t xml:space="preserve"> квадрат) целесообразна кон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центрация на единственном виде бизнеса. Ослабление позиции предприятия в тех же рыночных условиях (квадрат </w:t>
      </w:r>
      <w:r w:rsidRPr="0036441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6441E">
        <w:rPr>
          <w:rFonts w:ascii="Times New Roman" w:hAnsi="Times New Roman" w:cs="Times New Roman"/>
          <w:sz w:val="28"/>
          <w:szCs w:val="28"/>
        </w:rPr>
        <w:t>) приводит к необходимости пересмотра конкурентной стратегии, объеди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нения с другими предприятиями для усиления конкурентных преимуществ или диверсификации.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Таким образом, компания может выбирать различные подхо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ды к расширению сферы деятельности.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Необходимость в диф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ференциации возникает в тех случаях, когда возможности даль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нейшего развития предприятия в своей отрасли исчерпаны, но оно располагает необходимым потенциалом для роста.</w:t>
      </w:r>
    </w:p>
    <w:p w:rsid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Стратегические возможности перечисляются в порядке убывания привлекательности.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441E">
        <w:rPr>
          <w:rFonts w:ascii="Times New Roman" w:hAnsi="Times New Roman" w:cs="Times New Roman"/>
          <w:b/>
          <w:bCs/>
          <w:sz w:val="28"/>
          <w:szCs w:val="28"/>
        </w:rPr>
        <w:lastRenderedPageBreak/>
        <w:t>11.2 Стратегии диверсификации</w:t>
      </w:r>
    </w:p>
    <w:p w:rsid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441E">
        <w:rPr>
          <w:rFonts w:ascii="Times New Roman" w:hAnsi="Times New Roman" w:cs="Times New Roman"/>
          <w:b/>
          <w:bCs/>
          <w:sz w:val="28"/>
          <w:szCs w:val="28"/>
        </w:rPr>
        <w:t>11.2.1 Виды диверсификации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Стратегия диверсификации предполагает включение в портфель сфер бизнеса организации н</w:t>
      </w:r>
      <w:r>
        <w:rPr>
          <w:rStyle w:val="FontStyle65"/>
          <w:sz w:val="28"/>
          <w:szCs w:val="28"/>
        </w:rPr>
        <w:t>овых сфер бизнеса посредством</w:t>
      </w:r>
      <w:r w:rsidRPr="0036441E">
        <w:rPr>
          <w:rStyle w:val="FontStyle65"/>
          <w:sz w:val="28"/>
          <w:szCs w:val="28"/>
        </w:rPr>
        <w:t>: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- приобретения организаций;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- создания организаций "с нуля";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- создания совместных организаций.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Следствием диверсификации в рамках портфеля сфер бизнеса могут являться синергетические эффекты, проявляющиеся в снижении интегральных корпоративных издержек и возникающие за счет многофункционального использования ресурсов.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В СУ синергетические эффекты называют стратегическими соответствиями (СС) и определяются как сходные статьи затрат в структурах издержек различных организаций, принадлежащих одному портфелю сфер бизнеса, которые могут трансформироваться друг в друга.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В СУ выделяются следующие СС: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- маркетинговые (единый клиент; единые географические территории, каналы сбыта, рекламные усилия, поставщики; сходные торговые марки, послепродажный сервис);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- производственные (единые производственные мощности; сходные технологии, НИОКР);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- управленческие (единые системы управления и обучения, менеджеры).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Пример маркетингового СС. Стоимость создания торговой марки всегда составляет значительную долю в нематериальных активах организации. Так, стоимость торговых марок компаний Кока-Кола и Мальборо оценивается более чем в тридцать миллиардов долларов каждая. Если организация располагает признанной торговой маркой, то она может использовать ее для продвижения нового товара, и в любом случае она затратит на продвижение значительно меньшие ресурсы по сравнению с другой организацией, не имеющей подходящей торговой марки и приступившей к продвижению аналогичной продукции при прочих равных условиях.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Различают связанную и несвя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занную (конгломератную) диверсификацию. В свою очередь, свя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занная диверсификация может быть вертикальной или горизон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тальной </w:t>
      </w:r>
      <w:r>
        <w:rPr>
          <w:rFonts w:ascii="Times New Roman" w:hAnsi="Times New Roman" w:cs="Times New Roman"/>
          <w:sz w:val="28"/>
          <w:szCs w:val="28"/>
        </w:rPr>
        <w:t>(рисунок 11.2</w:t>
      </w:r>
      <w:r w:rsidRPr="0036441E">
        <w:rPr>
          <w:rFonts w:ascii="Times New Roman" w:hAnsi="Times New Roman" w:cs="Times New Roman"/>
          <w:sz w:val="28"/>
          <w:szCs w:val="28"/>
        </w:rPr>
        <w:t>). Основной критерий определения типа дивер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сификации — принцип слияния.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При функциональном слиянии объединяются предприятия, связанные в процессе производства. При инвестиционном слиянии объединение происходит без про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изводственной общности предприятий.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Style w:val="FontStyle65"/>
          <w:sz w:val="28"/>
          <w:szCs w:val="28"/>
        </w:rPr>
        <w:t>Стратегия связанной диверсификации предполагает наличие существенных СС между сферами бизнеса, в него входящих.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471285" cy="3685540"/>
            <wp:effectExtent l="1905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1285" cy="368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11.2</w:t>
      </w:r>
      <w:r w:rsidRPr="0036441E">
        <w:rPr>
          <w:rFonts w:ascii="Times New Roman" w:hAnsi="Times New Roman" w:cs="Times New Roman"/>
          <w:sz w:val="28"/>
          <w:szCs w:val="28"/>
        </w:rPr>
        <w:t xml:space="preserve"> - Виды диверсификации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Связанно диверсифицированные организации называются концернами.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Например, компания </w:t>
      </w:r>
      <w:r w:rsidRPr="0036441E">
        <w:rPr>
          <w:rStyle w:val="FontStyle65"/>
          <w:sz w:val="28"/>
          <w:szCs w:val="28"/>
          <w:lang w:val="en-US"/>
        </w:rPr>
        <w:t>Gilette</w:t>
      </w:r>
      <w:r w:rsidRPr="0036441E">
        <w:rPr>
          <w:rStyle w:val="FontStyle65"/>
          <w:sz w:val="28"/>
          <w:szCs w:val="28"/>
        </w:rPr>
        <w:t xml:space="preserve"> имеет в своем портфеле следующие сферы бизнеса, имеющие СС: лезвия и бритвы; зубные пасты и щетки; канцелярские принадлежности; кофеварки, будильники, электрические зубные щетки и т. д. Компания </w:t>
      </w:r>
      <w:r w:rsidRPr="0036441E">
        <w:rPr>
          <w:rStyle w:val="FontStyle65"/>
          <w:sz w:val="28"/>
          <w:szCs w:val="28"/>
          <w:lang w:val="en-US"/>
        </w:rPr>
        <w:t>Johnson</w:t>
      </w:r>
      <w:r w:rsidRPr="0036441E">
        <w:rPr>
          <w:rStyle w:val="FontStyle65"/>
          <w:sz w:val="28"/>
          <w:szCs w:val="28"/>
        </w:rPr>
        <w:t xml:space="preserve"> </w:t>
      </w:r>
      <w:r w:rsidRPr="0036441E">
        <w:rPr>
          <w:rStyle w:val="FontStyle65"/>
          <w:sz w:val="28"/>
          <w:szCs w:val="28"/>
          <w:lang w:val="en-US"/>
        </w:rPr>
        <w:t>and</w:t>
      </w:r>
      <w:r w:rsidRPr="0036441E">
        <w:rPr>
          <w:rStyle w:val="FontStyle65"/>
          <w:sz w:val="28"/>
          <w:szCs w:val="28"/>
        </w:rPr>
        <w:t xml:space="preserve"> </w:t>
      </w:r>
      <w:r w:rsidRPr="0036441E">
        <w:rPr>
          <w:rStyle w:val="FontStyle65"/>
          <w:sz w:val="28"/>
          <w:szCs w:val="28"/>
          <w:lang w:val="en-US"/>
        </w:rPr>
        <w:t>Johnson</w:t>
      </w:r>
      <w:r w:rsidRPr="0036441E">
        <w:rPr>
          <w:rStyle w:val="FontStyle65"/>
          <w:sz w:val="28"/>
          <w:szCs w:val="28"/>
        </w:rPr>
        <w:t xml:space="preserve"> имеет следующие сферы бизнеса: гигиенические и парфюмерные продукты для детей; лекарства; стоматологическое оборудование; ветеринарные препараты; предметы женской гигиены; бандажные и перевязочные материалы, и т. д.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Организации могут иметь множество сфер бизнеса; при этом между некоторыми существуют СС, между другими -отсутствуют. Для того, чтобы внести ясность в вопрос классификации         корпораций,</w:t>
      </w:r>
      <w:r w:rsidRPr="0036441E">
        <w:rPr>
          <w:rStyle w:val="FontStyle65"/>
          <w:sz w:val="28"/>
          <w:szCs w:val="28"/>
        </w:rPr>
        <w:tab/>
        <w:t>существует         понятие "преобладающего типа диверсификации на данном стратегическом уровне", под которым подразумевается преобладающий тип диверсификации на уровне анализируемых подсистем одного порядка в организации.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6441E">
        <w:rPr>
          <w:rFonts w:ascii="Times New Roman" w:hAnsi="Times New Roman" w:cs="Times New Roman"/>
          <w:b/>
          <w:bCs/>
          <w:sz w:val="28"/>
          <w:szCs w:val="28"/>
        </w:rPr>
        <w:t>11.2.1.1 Стратегия связной диверсификации</w:t>
      </w:r>
      <w:r w:rsidRPr="0036441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bCs/>
          <w:sz w:val="28"/>
          <w:szCs w:val="28"/>
        </w:rPr>
        <w:t xml:space="preserve">Вертикальная интеграция. </w:t>
      </w:r>
      <w:r w:rsidRPr="0036441E">
        <w:rPr>
          <w:rFonts w:ascii="Times New Roman" w:hAnsi="Times New Roman" w:cs="Times New Roman"/>
          <w:sz w:val="28"/>
          <w:szCs w:val="28"/>
        </w:rPr>
        <w:t>Связанная вертикальная диверсификация, или вертикальная интеграция, — это процесс приобретения или включения в состав предприятия новых про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изводств, входящих в технологическую цепочку выпуска основ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ного продукта на ступенях до или после процесса производства.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lastRenderedPageBreak/>
        <w:t>Стратегия интеграции оправданна, когда предприятие может повысить свою рентабельность, контролируя стратегически важ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ные звенья в цепи материально-технического снабжения, произ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водства и сбыта продукции.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При этом возможны различные типы вертикальной интеграции: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- полная интеграция производственной деятельности;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- частичная интеграция, в этом случае часть необходимых ком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плектующих закупается у других предприятий;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- квазиинтеграция — создание стратегических альянсов пред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приятий, заинтересованных в интеграции без перехода прав собственности.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В зависимости от направленности интеграции и положения предприятия в производственной цепочке выделяют две формы связанной диверсификации: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- интеграция «вперед», или прямая интеграция;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- интеграция «назад», или обратная интеграция.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Стратегия обратной интеграции используется для того, что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бы защитить стратегически важный источник снабжения или получить доступ к новой технологии, важный для базовой дея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тельности.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При обратной интеграции предприятие присоединя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ет функции, которые ранее выполнялись поставщиками, т.е. при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обретает (устанавливает) контроль над источниками сырья и производством комплектующих изделий.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Прямая интеграция заключается в приобретении или усиле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нии контроля над структурами, находящимися между предприя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тием и конечным потребителем, а именно системой распреде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ления и продажи товаров. Данный тип стратегии используется, когда предприятие не может найти посредников с качественным уровнем обслуживания клиентов или стремится лучше знать своих потребителей.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bCs/>
          <w:sz w:val="28"/>
          <w:szCs w:val="28"/>
        </w:rPr>
        <w:t xml:space="preserve">Горизонтальная интеграция. </w:t>
      </w:r>
      <w:r w:rsidRPr="0036441E">
        <w:rPr>
          <w:rFonts w:ascii="Times New Roman" w:hAnsi="Times New Roman" w:cs="Times New Roman"/>
          <w:sz w:val="28"/>
          <w:szCs w:val="28"/>
        </w:rPr>
        <w:t>Связанная горизонталь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ная диверсификация, или горизонтальная интеграция, — это объединение предприятий, работающих и конкурирующих в од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ной области деятельности.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Главная цель горизонтальной интег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рации — усиление позиций фирмы в отрасли путем поглощения определенных конкурентов или установления контроля над ними.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Горизонтальное объединение позволяет добиться экономии на масштабе производства, расширить спектр товаров и услуг и та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ким образом получить дополнительное конкурентное преимуще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ство. Часто основной причиной горизонтальной диверсификации является географическое расширение рынков. В этом случае объединяются компании, производящие однотипную продукцию, но выступающие на различных региональных рынках.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Пример. Классическим примером горизонтальной и вертикальной ди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версификации служит проникновение американских пивова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ренных компаний в область изготовления и сбыта безалко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гольных напитков. В этом случае диверсификация связана с расширением номенклатуры продуктов, предназначенных для схожего круга потребителей.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В России горизонтальные объединения характерны для бан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ковской сферы. Здесь они направлены на расширение спектра банковских услуг и географическое расширение деятельности.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6441E">
        <w:rPr>
          <w:rFonts w:ascii="Times New Roman" w:hAnsi="Times New Roman" w:cs="Times New Roman"/>
          <w:b/>
          <w:bCs/>
          <w:sz w:val="28"/>
          <w:szCs w:val="28"/>
        </w:rPr>
        <w:lastRenderedPageBreak/>
        <w:t>11.2.1.2  Стратегия несвязанной диверсификации</w:t>
      </w:r>
      <w:r w:rsidRPr="0036441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Данный вид диверси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фикации охватывает такие направления деятельности, которые не имеют прямой непосредственной связи с основной деятель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ностью предприятия. Диверсификация оправданна, если возмож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ности для роста предприятия в рамках производственной цепочки ограничены, позиции конкурентов очень сильны, а рынок базо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вой продукции находится в стадии спада. При несвязанной ди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версификации могут отсутствовать общие рынки, ресурсы, тех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нологии, а эффект достигается за счет обмена или разделения активов/сфер деятельности.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Организации, осуществляющие несвязанную диверсификацию, называются конгломератами. Сферы бизнеса, находящиеся в их портфеле, имеют между собой слабые стратегические соответствия.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Основное преимущество стратегии несвязанной диверсификации бизируется на снижении риска для конгломерата в целом. Снижение риска связано с тем фактом, что различные отрасли могут единовременно находиться на различных фазах отраслевых жизненных циклов. Спады в одних компенсируются подъемами в других.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Доходность конгломерата в целом в значительной степени зависит от способности управленческого ядра предвидеть перспективы отраслевых конъюнктур и умения выгодно распоряжаться компонентами портфеля сфер бизнеса конгломерата; поэтому менеджеры высшего уровня должны иметь исключительно высокую сп</w:t>
      </w:r>
      <w:r>
        <w:rPr>
          <w:rStyle w:val="FontStyle65"/>
          <w:sz w:val="28"/>
          <w:szCs w:val="28"/>
        </w:rPr>
        <w:t xml:space="preserve">ециализированную квалификацию.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Примеры несвязанно-диверсифицированных компаний. </w:t>
      </w:r>
      <w:r w:rsidRPr="0036441E">
        <w:rPr>
          <w:rStyle w:val="FontStyle65"/>
          <w:sz w:val="28"/>
          <w:szCs w:val="28"/>
          <w:lang w:val="en-US"/>
        </w:rPr>
        <w:t>Union</w:t>
      </w:r>
      <w:r w:rsidRPr="0036441E">
        <w:rPr>
          <w:rStyle w:val="FontStyle65"/>
          <w:sz w:val="28"/>
          <w:szCs w:val="28"/>
        </w:rPr>
        <w:t xml:space="preserve"> </w:t>
      </w:r>
      <w:r w:rsidRPr="0036441E">
        <w:rPr>
          <w:rStyle w:val="FontStyle65"/>
          <w:sz w:val="28"/>
          <w:szCs w:val="28"/>
          <w:lang w:val="en-US"/>
        </w:rPr>
        <w:t>Pacific</w:t>
      </w:r>
      <w:r w:rsidRPr="0036441E">
        <w:rPr>
          <w:rStyle w:val="FontStyle65"/>
          <w:sz w:val="28"/>
          <w:szCs w:val="28"/>
        </w:rPr>
        <w:t xml:space="preserve"> </w:t>
      </w:r>
      <w:r w:rsidRPr="0036441E">
        <w:rPr>
          <w:rStyle w:val="FontStyle65"/>
          <w:sz w:val="28"/>
          <w:szCs w:val="28"/>
          <w:lang w:val="en-US"/>
        </w:rPr>
        <w:t>Corp</w:t>
      </w:r>
      <w:r w:rsidRPr="0036441E">
        <w:rPr>
          <w:rStyle w:val="FontStyle65"/>
          <w:sz w:val="28"/>
          <w:szCs w:val="28"/>
        </w:rPr>
        <w:t xml:space="preserve">.: железнодорожные перевозки; добыча нефти и газа: ОВЛС- и СВЧ- оборудование; сухопутные перевозки; нефтепереработка; недвижимость; и др. </w:t>
      </w:r>
      <w:r w:rsidRPr="0036441E">
        <w:rPr>
          <w:rStyle w:val="FontStyle65"/>
          <w:sz w:val="28"/>
          <w:szCs w:val="28"/>
          <w:lang w:val="en-US"/>
        </w:rPr>
        <w:t>Westinghouse</w:t>
      </w:r>
      <w:r w:rsidRPr="0036441E">
        <w:rPr>
          <w:rStyle w:val="FontStyle65"/>
          <w:sz w:val="28"/>
          <w:szCs w:val="28"/>
        </w:rPr>
        <w:t xml:space="preserve"> </w:t>
      </w:r>
      <w:r w:rsidRPr="0036441E">
        <w:rPr>
          <w:rStyle w:val="FontStyle65"/>
          <w:sz w:val="28"/>
          <w:szCs w:val="28"/>
          <w:lang w:val="en-US"/>
        </w:rPr>
        <w:t>Electric</w:t>
      </w:r>
      <w:r w:rsidRPr="0036441E">
        <w:rPr>
          <w:rStyle w:val="FontStyle65"/>
          <w:sz w:val="28"/>
          <w:szCs w:val="28"/>
        </w:rPr>
        <w:t xml:space="preserve"> </w:t>
      </w:r>
      <w:r w:rsidRPr="0036441E">
        <w:rPr>
          <w:rStyle w:val="FontStyle65"/>
          <w:sz w:val="28"/>
          <w:szCs w:val="28"/>
          <w:lang w:val="en-US"/>
        </w:rPr>
        <w:t>Corp</w:t>
      </w:r>
      <w:r w:rsidRPr="0036441E">
        <w:rPr>
          <w:rStyle w:val="FontStyle65"/>
          <w:sz w:val="28"/>
          <w:szCs w:val="28"/>
        </w:rPr>
        <w:t>.: энергораспределительное оборудование; недвижимость; коммерческие теле- и радиовещание; транспортеры; офисная мебель; электроника для нужд обороны и др.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Как показывает практика, в периоды общеэкономического спада наибольшие шансы на выживание имеют корпоративные структуры типа концерна, то есть организации, чьи портфели имеют значительные стратегические соответствия между отдельными сферами бизнеса. Это связано с тем, что, с одной стороны, общеэкономический спад негативно сказывается практических на всех сферах бизнеса; с другой, минимизация затрат становится в таких случаях первоочередной задачей, с решением которой концерны справляются лучше, чем конгломераты.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Различают центрированную и конгломератную диверсифика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цию: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- стратегия центрированной диверсификации базируется на по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иске и использовании дополнительных возможностей произ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водства  новых продуктов в существующем бизнесе. Существующее производство остается в центре бизнеса, а новое возникает исходя из тех возможностей, которые за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ключены в освоенном рынке, используемой технологии и основаны на сильных сторонах функционирования пред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приятия;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lastRenderedPageBreak/>
        <w:t>- стратегия конгломератной диверсификации состоит в расши</w:t>
      </w:r>
      <w:r w:rsidRPr="0036441E">
        <w:rPr>
          <w:rFonts w:ascii="Times New Roman" w:hAnsi="Times New Roman" w:cs="Times New Roman"/>
          <w:sz w:val="28"/>
          <w:szCs w:val="28"/>
        </w:rPr>
        <w:softHyphen/>
        <w:t>рении предприятия за счет производства технологически не связанных с уже производимыми новыми продуктами, которые реализуются на новых рынках. Цель данной дивер</w:t>
      </w:r>
      <w:r w:rsidRPr="0036441E">
        <w:rPr>
          <w:rFonts w:ascii="Times New Roman" w:hAnsi="Times New Roman" w:cs="Times New Roman"/>
          <w:sz w:val="28"/>
          <w:szCs w:val="28"/>
        </w:rPr>
        <w:softHyphen/>
        <w:t xml:space="preserve">сификации — обновление своего портфеля продукции.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sz w:val="28"/>
          <w:szCs w:val="28"/>
        </w:rPr>
        <w:t>Выбор стратегии диверсификации осуществляется с учетом внутренних возможностей предприятия и потребностей рынка.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441E">
        <w:rPr>
          <w:rFonts w:ascii="Times New Roman" w:hAnsi="Times New Roman" w:cs="Times New Roman"/>
          <w:b/>
          <w:sz w:val="28"/>
          <w:szCs w:val="28"/>
        </w:rPr>
        <w:t xml:space="preserve">11.3 Стратегии откачки капитала и ликвидации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В некоторых случаях изменения во внешней среде или внутренние перемены могут приводить к тому, что ранее привлекательная сфера бизнеса перестает приносить требуемую прибыль, и единственным правильным решением становится прекращение ее деятельности в рамках портфеля. Здесь возникают несколько возможностей. Первая - продать более не привлекательную организацию. Вторая - ликвидировать. Третья -дождаться банкротства.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При рассмотрении первой альтернативы следует попытаться найти организацию, для которой данная сфера бизнеса может представлять интерес, т. е. организацию, с которой данная сфера бизнеса имеет наибольшие СС.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При рассмотрении возможности реализации старатегии ликвидации, предполагающей закрытие организации и распродажу ее активов, следует иметь в виду, что стоимость распрадаваемых по отдельности активов может оказаться значительно ниже стоимости цельной организации. Это объясняется, например, тем фактом, что при ликвидации теряются нематериальные активы, составляющие в некоторых случаях львиную долю интегральных активов организации. В тех случаях, когда отсутствует надежда на выживание организации, а покупатель не найден, оперативная ликвидация с финансовой точки зрения более оправдана по сравнению с банкротством, при котором может пострадать имидж всего портфеля сфер бизнеса.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441E">
        <w:rPr>
          <w:rFonts w:ascii="Times New Roman" w:hAnsi="Times New Roman" w:cs="Times New Roman"/>
          <w:b/>
          <w:sz w:val="28"/>
          <w:szCs w:val="28"/>
        </w:rPr>
        <w:t xml:space="preserve">11.4 Стратегии изменения курса и реструктуризации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Как правило, основным мотивом реализации стратегий изменения курса и реструктуризации является желание управленческого ядра корпорации улучшить эффективность функционирования портфеля в целом или даже сох</w:t>
      </w:r>
      <w:r>
        <w:rPr>
          <w:rStyle w:val="FontStyle65"/>
          <w:sz w:val="28"/>
          <w:szCs w:val="28"/>
        </w:rPr>
        <w:t>ранить его существование</w:t>
      </w:r>
      <w:r w:rsidRPr="0036441E">
        <w:rPr>
          <w:rStyle w:val="FontStyle65"/>
          <w:sz w:val="28"/>
          <w:szCs w:val="28"/>
        </w:rPr>
        <w:t>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Подход к реализации стратегии изменения курса зависит от причин неудовлетворительного функционирования портфеля, или глубины кризиса, вызванного, например, высокими издержками в отдельных элементах портфеля сфер бизнеса; нахождением слишком большого числа сфер бизнеса в непривлекательных отраслях; слабостью корпоративного менеджмента; и т. д. В зависимости от причин могут иметь место следующие подходы: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-</w:t>
      </w:r>
      <w:r w:rsidRPr="0036441E">
        <w:rPr>
          <w:rStyle w:val="FontStyle65"/>
          <w:sz w:val="28"/>
          <w:szCs w:val="28"/>
        </w:rPr>
        <w:tab/>
        <w:t>концентрирование на восстановлении прибыльности в убыточных сферах бизнеса;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lastRenderedPageBreak/>
        <w:t>-</w:t>
      </w:r>
      <w:r w:rsidRPr="0036441E">
        <w:rPr>
          <w:rStyle w:val="FontStyle65"/>
          <w:sz w:val="28"/>
          <w:szCs w:val="28"/>
        </w:rPr>
        <w:tab/>
        <w:t>реализация стратегии "снятия урожая" в слабых сферах и направление высвобождаемых ресурсов в благополучные сферы;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-</w:t>
      </w:r>
      <w:r w:rsidRPr="0036441E">
        <w:rPr>
          <w:rStyle w:val="FontStyle65"/>
          <w:sz w:val="28"/>
          <w:szCs w:val="28"/>
        </w:rPr>
        <w:tab/>
        <w:t>введение режима экономии во всех сферах;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-</w:t>
      </w:r>
      <w:r w:rsidRPr="0036441E">
        <w:rPr>
          <w:rStyle w:val="FontStyle65"/>
          <w:sz w:val="28"/>
          <w:szCs w:val="28"/>
        </w:rPr>
        <w:tab/>
        <w:t>ревизия портфеля посредством продажи слабых сфер и замены их вновь приобретенными сферами, расположенными в более привлекательных отраслях;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смена отдельных менеджеров корпоративного уровня;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проведение мероприятий по повышению прибыльности во всех сферах бизнеса.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Стратегия реструктуризации предполагает осуществление радикальных изменений в портфеле, то есть устранение одних сфер из портфеля и включение других посредством покупки, продажи сфер бизнеса и вхождения в новые отрасли. К данной стратегии прибегают в тех случаях, когда: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-</w:t>
      </w:r>
      <w:r w:rsidRPr="0036441E">
        <w:rPr>
          <w:rStyle w:val="FontStyle65"/>
          <w:sz w:val="28"/>
          <w:szCs w:val="28"/>
        </w:rPr>
        <w:tab/>
        <w:t>диагностика текущей стратегии показывает, что у корпорации отсутствуют хорошие долгосрочные перспективы из-за наличия в портфеле значительного количества медленно развивающихся, угасающих и неконкурентоспособных сфер бизнеса;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-</w:t>
      </w:r>
      <w:r w:rsidRPr="0036441E">
        <w:rPr>
          <w:rStyle w:val="FontStyle65"/>
          <w:sz w:val="28"/>
          <w:szCs w:val="28"/>
        </w:rPr>
        <w:tab/>
        <w:t>для ключевых сфер бизнеса настали тяжелые времена;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совет директоров решает изменить направление развития портфеля сфер бизнеса;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появились новые технологии, продукты, и нужна полная переструктуризация портфеля с целью занятия позиции в новой перспективной отрасли;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имеется необходимость совершения крупной и выгодной покупки сферы бизнеса за счет продажи нескольких находящихся в портфеле;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основные сферы бизнеса в портфеле теряют привлекательность, что порождает необходимость изменений в портфеле для обеспечения приемлемых долгосрочных перспектив его развития.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441E">
        <w:rPr>
          <w:rFonts w:ascii="Times New Roman" w:hAnsi="Times New Roman" w:cs="Times New Roman"/>
          <w:b/>
          <w:sz w:val="28"/>
          <w:szCs w:val="28"/>
        </w:rPr>
        <w:t xml:space="preserve">11.5 Стратегии международной диверсификации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Стратегия международной диверсификации предполагает функционирование диверсифицированного портфеля на множестве национальных рынков. Широкое распространение данная стратегия получила в середине 80 - х, когда стало ясно, что диверсифицированные международные компании имеют преимущество перед обычными международными компаниями.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С этого времени связанная диверсификация, базирующаяся в основном на технологическом и брэндовом СС, стала важнейшим источником конкурентных преимуществ для международных компаний. Такие компании могут захватывать значительные рыночные доли в других странах за счет продажи товаров в течение определенного промежутка времени по ценам ниже себестоимости, покрывая разницу за счет прибылей, получаемых на уже занятых рынках. Их национальные конкуренты не могут себе этого позволить и теряют рыночные доли.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lastRenderedPageBreak/>
        <w:t xml:space="preserve">Стратегия международной. диверсификации может предполагать реализацию стратегии глобализации, то есть продвижения на всех рынках исключительно стандартизированных товаров и услуг.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Например, компания </w:t>
      </w:r>
      <w:r w:rsidRPr="0036441E">
        <w:rPr>
          <w:rStyle w:val="FontStyle65"/>
          <w:sz w:val="28"/>
          <w:szCs w:val="28"/>
          <w:lang w:val="en-US"/>
        </w:rPr>
        <w:t>McDonalds</w:t>
      </w:r>
      <w:r w:rsidRPr="0036441E">
        <w:rPr>
          <w:rStyle w:val="FontStyle65"/>
          <w:sz w:val="28"/>
          <w:szCs w:val="28"/>
        </w:rPr>
        <w:t xml:space="preserve"> осуществляет стратегию глобализации, продвигая во всех странах исключительно стандартизированные услуги. Основное достоинство этой стратегии - снижение затрат на продвижение за счет создания имиджа организации, чьи товары и/или услуги одинаково хороши во всем мире.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Один из путей реализации стратегии глобализации - франчайзинговая схема.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В таблице </w:t>
      </w:r>
      <w:r>
        <w:rPr>
          <w:rStyle w:val="FontStyle65"/>
          <w:sz w:val="28"/>
          <w:szCs w:val="28"/>
        </w:rPr>
        <w:t>11</w:t>
      </w:r>
      <w:r w:rsidRPr="0036441E">
        <w:rPr>
          <w:rStyle w:val="FontStyle65"/>
          <w:sz w:val="28"/>
          <w:szCs w:val="28"/>
        </w:rPr>
        <w:t xml:space="preserve">.1 представлены объемы продаж и число сфер деятельности некоторых международных диверсифицированных компаний по состоянию на </w:t>
      </w:r>
      <w:smartTag w:uri="urn:schemas-microsoft-com:office:smarttags" w:element="metricconverter">
        <w:smartTagPr>
          <w:attr w:name="ProductID" w:val="1987 г"/>
        </w:smartTagPr>
        <w:r w:rsidRPr="0036441E">
          <w:rPr>
            <w:rStyle w:val="FontStyle65"/>
            <w:sz w:val="28"/>
            <w:szCs w:val="28"/>
          </w:rPr>
          <w:t>1987 г</w:t>
        </w:r>
      </w:smartTag>
      <w:r w:rsidRPr="0036441E">
        <w:rPr>
          <w:rStyle w:val="FontStyle65"/>
          <w:sz w:val="28"/>
          <w:szCs w:val="28"/>
        </w:rPr>
        <w:t>. [45].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Таблица </w:t>
      </w:r>
      <w:r>
        <w:rPr>
          <w:rStyle w:val="FontStyle65"/>
          <w:sz w:val="28"/>
          <w:szCs w:val="28"/>
        </w:rPr>
        <w:t>11</w:t>
      </w:r>
      <w:r w:rsidRPr="0036441E">
        <w:rPr>
          <w:rStyle w:val="FontStyle65"/>
          <w:sz w:val="28"/>
          <w:szCs w:val="28"/>
        </w:rPr>
        <w:t>.1 - Объемы продаж и число сфер деятельности некоторых международных диверсифицированных компаний.</w:t>
      </w:r>
    </w:p>
    <w:tbl>
      <w:tblPr>
        <w:tblW w:w="97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803"/>
        <w:gridCol w:w="2726"/>
        <w:gridCol w:w="4210"/>
      </w:tblGrid>
      <w:tr w:rsidR="0036441E" w:rsidRPr="0036441E" w:rsidTr="00F12C2F">
        <w:tblPrEx>
          <w:tblCellMar>
            <w:top w:w="0" w:type="dxa"/>
            <w:bottom w:w="0" w:type="dxa"/>
          </w:tblCellMar>
        </w:tblPrEx>
        <w:tc>
          <w:tcPr>
            <w:tcW w:w="2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наименование компании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объем продаж (млрд. долл.)</w:t>
            </w:r>
          </w:p>
        </w:tc>
        <w:tc>
          <w:tcPr>
            <w:tcW w:w="4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сфера     действия (страны)</w:t>
            </w:r>
          </w:p>
        </w:tc>
      </w:tr>
      <w:tr w:rsidR="0036441E" w:rsidRPr="0036441E" w:rsidTr="00F12C2F">
        <w:tblPrEx>
          <w:tblCellMar>
            <w:top w:w="0" w:type="dxa"/>
            <w:bottom w:w="0" w:type="dxa"/>
          </w:tblCellMar>
        </w:tblPrEx>
        <w:tc>
          <w:tcPr>
            <w:tcW w:w="2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FontStyle65"/>
                <w:sz w:val="24"/>
                <w:szCs w:val="24"/>
                <w:lang w:val="en-US" w:eastAsia="en-US"/>
              </w:rPr>
            </w:pPr>
            <w:r w:rsidRPr="0036441E">
              <w:rPr>
                <w:rStyle w:val="FontStyle65"/>
                <w:sz w:val="24"/>
                <w:szCs w:val="24"/>
                <w:lang w:val="en-US" w:eastAsia="en-US"/>
              </w:rPr>
              <w:t xml:space="preserve">Unilever </w:t>
            </w:r>
            <w:r w:rsidRPr="0036441E">
              <w:rPr>
                <w:rStyle w:val="FontStyle65"/>
                <w:sz w:val="24"/>
                <w:szCs w:val="24"/>
                <w:lang w:eastAsia="en-US"/>
              </w:rPr>
              <w:t xml:space="preserve">( </w:t>
            </w:r>
            <w:smartTag w:uri="urn:schemas-microsoft-com:office:smarttags" w:element="place">
              <w:smartTag w:uri="urn:schemas-microsoft-com:office:smarttags" w:element="City">
                <w:r w:rsidRPr="0036441E">
                  <w:rPr>
                    <w:rStyle w:val="FontStyle65"/>
                    <w:sz w:val="24"/>
                    <w:szCs w:val="24"/>
                    <w:lang w:val="en-US" w:eastAsia="en-US"/>
                  </w:rPr>
                  <w:t>Netherland</w:t>
                </w:r>
              </w:smartTag>
              <w:r w:rsidRPr="0036441E">
                <w:rPr>
                  <w:rStyle w:val="FontStyle65"/>
                  <w:sz w:val="24"/>
                  <w:szCs w:val="24"/>
                  <w:lang w:val="en-US" w:eastAsia="en-US"/>
                </w:rPr>
                <w:t xml:space="preserve">, </w:t>
              </w:r>
              <w:smartTag w:uri="urn:schemas-microsoft-com:office:smarttags" w:element="country-region">
                <w:r w:rsidRPr="0036441E">
                  <w:rPr>
                    <w:rStyle w:val="FontStyle65"/>
                    <w:sz w:val="24"/>
                    <w:szCs w:val="24"/>
                    <w:lang w:val="en-US" w:eastAsia="en-US"/>
                  </w:rPr>
                  <w:t>Britain</w:t>
                </w:r>
              </w:smartTag>
            </w:smartTag>
            <w:r w:rsidRPr="0036441E">
              <w:rPr>
                <w:rStyle w:val="FontStyle65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27</w:t>
            </w:r>
          </w:p>
        </w:tc>
        <w:tc>
          <w:tcPr>
            <w:tcW w:w="4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30</w:t>
            </w:r>
          </w:p>
        </w:tc>
      </w:tr>
      <w:tr w:rsidR="0036441E" w:rsidRPr="0036441E" w:rsidTr="00F12C2F">
        <w:tblPrEx>
          <w:tblCellMar>
            <w:top w:w="0" w:type="dxa"/>
            <w:bottom w:w="0" w:type="dxa"/>
          </w:tblCellMar>
        </w:tblPrEx>
        <w:tc>
          <w:tcPr>
            <w:tcW w:w="2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FontStyle65"/>
                <w:sz w:val="24"/>
                <w:szCs w:val="24"/>
                <w:lang w:val="en-US" w:eastAsia="en-US"/>
              </w:rPr>
            </w:pPr>
            <w:r w:rsidRPr="0036441E">
              <w:rPr>
                <w:rStyle w:val="FontStyle65"/>
                <w:sz w:val="24"/>
                <w:szCs w:val="24"/>
                <w:lang w:val="en-US" w:eastAsia="en-US"/>
              </w:rPr>
              <w:t>Siemens (</w:t>
            </w:r>
            <w:smartTag w:uri="urn:schemas-microsoft-com:office:smarttags" w:element="country-region">
              <w:smartTag w:uri="urn:schemas-microsoft-com:office:smarttags" w:element="place">
                <w:r w:rsidRPr="0036441E">
                  <w:rPr>
                    <w:rStyle w:val="FontStyle65"/>
                    <w:sz w:val="24"/>
                    <w:szCs w:val="24"/>
                    <w:lang w:val="en-US" w:eastAsia="en-US"/>
                  </w:rPr>
                  <w:t>Germany</w:t>
                </w:r>
              </w:smartTag>
            </w:smartTag>
            <w:r w:rsidRPr="0036441E">
              <w:rPr>
                <w:rStyle w:val="FontStyle65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27</w:t>
            </w:r>
          </w:p>
        </w:tc>
        <w:tc>
          <w:tcPr>
            <w:tcW w:w="4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28</w:t>
            </w:r>
          </w:p>
        </w:tc>
      </w:tr>
      <w:tr w:rsidR="0036441E" w:rsidRPr="0036441E" w:rsidTr="00F12C2F">
        <w:tblPrEx>
          <w:tblCellMar>
            <w:top w:w="0" w:type="dxa"/>
            <w:bottom w:w="0" w:type="dxa"/>
          </w:tblCellMar>
        </w:tblPrEx>
        <w:tc>
          <w:tcPr>
            <w:tcW w:w="2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FontStyle65"/>
                <w:sz w:val="24"/>
                <w:szCs w:val="24"/>
                <w:lang w:val="en-US" w:eastAsia="en-US"/>
              </w:rPr>
            </w:pPr>
            <w:r w:rsidRPr="0036441E">
              <w:rPr>
                <w:rStyle w:val="FontStyle65"/>
                <w:sz w:val="24"/>
                <w:szCs w:val="24"/>
                <w:lang w:val="en-US" w:eastAsia="en-US"/>
              </w:rPr>
              <w:t>Philips (Netherland)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26</w:t>
            </w:r>
          </w:p>
        </w:tc>
        <w:tc>
          <w:tcPr>
            <w:tcW w:w="4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60</w:t>
            </w:r>
          </w:p>
        </w:tc>
      </w:tr>
      <w:tr w:rsidR="0036441E" w:rsidRPr="0036441E" w:rsidTr="00F12C2F">
        <w:tblPrEx>
          <w:tblCellMar>
            <w:top w:w="0" w:type="dxa"/>
            <w:bottom w:w="0" w:type="dxa"/>
          </w:tblCellMar>
        </w:tblPrEx>
        <w:tc>
          <w:tcPr>
            <w:tcW w:w="2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FontStyle65"/>
                <w:sz w:val="24"/>
                <w:szCs w:val="24"/>
                <w:lang w:val="en-US" w:eastAsia="en-US"/>
              </w:rPr>
            </w:pPr>
            <w:r w:rsidRPr="0036441E">
              <w:rPr>
                <w:rStyle w:val="FontStyle65"/>
                <w:sz w:val="24"/>
                <w:szCs w:val="24"/>
                <w:lang w:val="en-US" w:eastAsia="en-US"/>
              </w:rPr>
              <w:t>Nissan Motor Co. (</w:t>
            </w:r>
            <w:smartTag w:uri="urn:schemas-microsoft-com:office:smarttags" w:element="country-region">
              <w:smartTag w:uri="urn:schemas-microsoft-com:office:smarttags" w:element="place">
                <w:r w:rsidRPr="0036441E">
                  <w:rPr>
                    <w:rStyle w:val="FontStyle65"/>
                    <w:sz w:val="24"/>
                    <w:szCs w:val="24"/>
                    <w:lang w:val="en-US" w:eastAsia="en-US"/>
                  </w:rPr>
                  <w:t>Japan</w:t>
                </w:r>
              </w:smartTag>
            </w:smartTag>
            <w:r w:rsidRPr="0036441E">
              <w:rPr>
                <w:rStyle w:val="FontStyle65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34</w:t>
            </w:r>
          </w:p>
        </w:tc>
        <w:tc>
          <w:tcPr>
            <w:tcW w:w="4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15</w:t>
            </w:r>
          </w:p>
        </w:tc>
      </w:tr>
      <w:tr w:rsidR="0036441E" w:rsidRPr="0036441E" w:rsidTr="00F12C2F">
        <w:tblPrEx>
          <w:tblCellMar>
            <w:top w:w="0" w:type="dxa"/>
            <w:bottom w:w="0" w:type="dxa"/>
          </w:tblCellMar>
        </w:tblPrEx>
        <w:tc>
          <w:tcPr>
            <w:tcW w:w="2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FontStyle65"/>
                <w:sz w:val="24"/>
                <w:szCs w:val="24"/>
                <w:lang w:val="en-US" w:eastAsia="en-US"/>
              </w:rPr>
            </w:pPr>
            <w:smartTag w:uri="urn:schemas-microsoft-com:office:smarttags" w:element="City">
              <w:r w:rsidRPr="0036441E">
                <w:rPr>
                  <w:rStyle w:val="FontStyle65"/>
                  <w:sz w:val="24"/>
                  <w:szCs w:val="24"/>
                  <w:lang w:val="en-US" w:eastAsia="en-US"/>
                </w:rPr>
                <w:t>Hitachi</w:t>
              </w:r>
            </w:smartTag>
            <w:r w:rsidRPr="0036441E">
              <w:rPr>
                <w:rStyle w:val="FontStyle65"/>
                <w:sz w:val="24"/>
                <w:szCs w:val="24"/>
                <w:lang w:val="en-US" w:eastAsia="en-US"/>
              </w:rPr>
              <w:t xml:space="preserve"> (</w:t>
            </w:r>
            <w:smartTag w:uri="urn:schemas-microsoft-com:office:smarttags" w:element="country-region">
              <w:smartTag w:uri="urn:schemas-microsoft-com:office:smarttags" w:element="place">
                <w:r w:rsidRPr="0036441E">
                  <w:rPr>
                    <w:rStyle w:val="FontStyle65"/>
                    <w:sz w:val="24"/>
                    <w:szCs w:val="24"/>
                    <w:lang w:val="en-US" w:eastAsia="en-US"/>
                  </w:rPr>
                  <w:t>Japan</w:t>
                </w:r>
              </w:smartTag>
            </w:smartTag>
            <w:r w:rsidRPr="0036441E">
              <w:rPr>
                <w:rStyle w:val="FontStyle65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29</w:t>
            </w:r>
          </w:p>
        </w:tc>
        <w:tc>
          <w:tcPr>
            <w:tcW w:w="4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7</w:t>
            </w:r>
          </w:p>
        </w:tc>
      </w:tr>
      <w:tr w:rsidR="0036441E" w:rsidRPr="0036441E" w:rsidTr="00F12C2F">
        <w:tblPrEx>
          <w:tblCellMar>
            <w:top w:w="0" w:type="dxa"/>
            <w:bottom w:w="0" w:type="dxa"/>
          </w:tblCellMar>
        </w:tblPrEx>
        <w:tc>
          <w:tcPr>
            <w:tcW w:w="2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FontStyle65"/>
                <w:sz w:val="24"/>
                <w:szCs w:val="24"/>
                <w:lang w:val="en-US" w:eastAsia="en-US"/>
              </w:rPr>
            </w:pPr>
            <w:r w:rsidRPr="0036441E">
              <w:rPr>
                <w:rStyle w:val="FontStyle65"/>
                <w:sz w:val="24"/>
                <w:szCs w:val="24"/>
                <w:lang w:val="en-US" w:eastAsia="en-US"/>
              </w:rPr>
              <w:t>Toyota Motor Co. (</w:t>
            </w:r>
            <w:smartTag w:uri="urn:schemas-microsoft-com:office:smarttags" w:element="country-region">
              <w:smartTag w:uri="urn:schemas-microsoft-com:office:smarttags" w:element="place">
                <w:r w:rsidRPr="0036441E">
                  <w:rPr>
                    <w:rStyle w:val="FontStyle65"/>
                    <w:sz w:val="24"/>
                    <w:szCs w:val="24"/>
                    <w:lang w:val="en-US" w:eastAsia="en-US"/>
                  </w:rPr>
                  <w:t>Japan</w:t>
                </w:r>
              </w:smartTag>
            </w:smartTag>
            <w:r w:rsidRPr="0036441E">
              <w:rPr>
                <w:rStyle w:val="FontStyle65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2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42</w:t>
            </w:r>
          </w:p>
        </w:tc>
        <w:tc>
          <w:tcPr>
            <w:tcW w:w="4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41E" w:rsidRPr="0036441E" w:rsidRDefault="0036441E" w:rsidP="0036441E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Style w:val="FontStyle65"/>
                <w:sz w:val="24"/>
                <w:szCs w:val="24"/>
              </w:rPr>
            </w:pPr>
            <w:r w:rsidRPr="0036441E">
              <w:rPr>
                <w:rStyle w:val="FontStyle65"/>
                <w:sz w:val="24"/>
                <w:szCs w:val="24"/>
              </w:rPr>
              <w:t>21</w:t>
            </w:r>
          </w:p>
        </w:tc>
      </w:tr>
    </w:tbl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441E">
        <w:rPr>
          <w:rFonts w:ascii="Times New Roman" w:hAnsi="Times New Roman" w:cs="Times New Roman"/>
          <w:b/>
          <w:sz w:val="28"/>
          <w:szCs w:val="28"/>
        </w:rPr>
        <w:t xml:space="preserve">11.6 Особенности стратегического управления диверсифицированной организацией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При разработке и реализации СУ в диверсифицированных организациях имеются некоторые особенности 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При разработке корпоративной стратегии следует учитывать: возможные изменения стратегических планов в отдельных сферах бизнеса; целесообразность добавления новых сфер бизнеса в портфель      посредством  связанной или несвязанной диверсификации; </w:t>
      </w:r>
      <w:r w:rsidRPr="0036441E">
        <w:rPr>
          <w:rStyle w:val="FontStyle65"/>
          <w:sz w:val="28"/>
          <w:szCs w:val="28"/>
        </w:rPr>
        <w:tab/>
        <w:t>целесообразность удаления невыгодно позиционированных сфер бизнеса;  целесообразность создания альянсов (с целью повышения прибыльности портфеля) с инофирмами, политическими партиями, союзами, группами потребителей, поставщиками.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В процессе разработки корпоративной стратегии одной из важнейших задач является трансформация СС в видимые конкурентные преимущества отдельных сфер бизнеса и портфеля в целом, т. к. СС не обеспечивают конкурентные преимущества автоматически.  Поэтому корпоративная стратегия должна предусматривать   практические пути трансформации СС в конкурентные преимущества, основанные на максимизации трансформации </w:t>
      </w:r>
      <w:r w:rsidRPr="0036441E">
        <w:rPr>
          <w:rStyle w:val="FontStyle65"/>
          <w:sz w:val="28"/>
          <w:szCs w:val="28"/>
        </w:rPr>
        <w:lastRenderedPageBreak/>
        <w:t>затрат между сходными элементами в структурах издержек сфер бизнеса в портфеле.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Стратегический план должен предусматривать механизм корпоративной стратегической координации различных сфер бизнеса. При его разработке следует обращать внимание на следующие вопросы: координация закупки сырья, проведения НИОКР, использования производственных мощностей, сетей сбыта, транспортных мощностей; координация стратегий связанных сфер бизнеса с целью унификации и укрепления общекорпоративного подхода к клиентам и поставщикам; координация действий по защите и нападению с целью укрепления общекорпоративных позиций и усиления давления на конкурентов; координация действий по обмену опытом, перетоку технологий между корпоративными сферами бизнеса; координация планов диверсификации с целью укрепления СС в существующих сферах бизнеса;  координация планов по откачке капитала из неперспективных сфер бизнеса в портфеле; координация планов создания и развития общекорпоративной культуры. Существуют значительные различия между стратегическим управлением корпорацией типа "концерн" (портфель со значительными СС между его элементами) и корпорацией типа "конгломерат" (портфель, элементы которого имеют между собой слабо выраженные СС).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Различия основываются на том факте, что управление конгломератом основывается на чисто финансовом подходе (т. е на основе анализа финансовых показателей эффективности использования капитала в отдельных элементах портфеля), так как различные сферы бизнеса конгломерата ничего не связывает, кроме единых владельцев и менеджеров    корпоративного    уровня.   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 xml:space="preserve">Для управления конгломератом на корпоративном уровне требуются менеджеры высочайшей квалификации с навыками управления портфелем слабо связанных между собой сфер бизнеса. Стратегическое управление концерном предполагает применение принципов управления однородной сферой бизнеса плюс управление стратегическими соответствиями с привлечение элементов портфельного менеджмента. 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Style w:val="FontStyle65"/>
          <w:sz w:val="28"/>
          <w:szCs w:val="28"/>
        </w:rPr>
      </w:pPr>
      <w:r w:rsidRPr="0036441E">
        <w:rPr>
          <w:rStyle w:val="FontStyle65"/>
          <w:sz w:val="28"/>
          <w:szCs w:val="28"/>
        </w:rPr>
        <w:t>Основные этапы стратегического управления концерном представлены на рис. 11.</w:t>
      </w:r>
      <w:r>
        <w:rPr>
          <w:rStyle w:val="FontStyle65"/>
          <w:sz w:val="28"/>
          <w:szCs w:val="28"/>
        </w:rPr>
        <w:t>3</w:t>
      </w:r>
      <w:r w:rsidRPr="0036441E">
        <w:rPr>
          <w:rStyle w:val="FontStyle65"/>
          <w:sz w:val="28"/>
          <w:szCs w:val="28"/>
        </w:rPr>
        <w:t>.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36441E" w:rsidRPr="0036441E" w:rsidSect="00200BB3">
          <w:pgSz w:w="11906" w:h="16838" w:code="9"/>
          <w:pgMar w:top="1134" w:right="1134" w:bottom="1134" w:left="1134" w:header="567" w:footer="0" w:gutter="0"/>
          <w:cols w:space="708"/>
          <w:docGrid w:linePitch="360"/>
        </w:sect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41E">
        <w:rPr>
          <w:rFonts w:ascii="Times New Roman" w:hAnsi="Times New Roman" w:cs="Times New Roman"/>
          <w:noProof/>
          <w:sz w:val="28"/>
          <w:szCs w:val="28"/>
        </w:rPr>
        <w:pict>
          <v:group id="_x0000_s1026" style="position:absolute;left:0;text-align:left;margin-left:54pt;margin-top:5.7pt;width:688.75pt;height:270pt;z-index:251660288" coordorigin="2214,1494" coordsize="13775,5400">
            <v:rect id="_x0000_s1027" style="position:absolute;left:2394;top:2034;width:1980;height:1800">
              <v:textbox>
                <w:txbxContent>
                  <w:p w:rsidR="0036441E" w:rsidRDefault="0036441E" w:rsidP="0036441E">
                    <w:pPr>
                      <w:jc w:val="center"/>
                    </w:pPr>
                    <w:r>
                      <w:t>Миссия для каждой сферы бизнеса и концерна в целом</w:t>
                    </w:r>
                  </w:p>
                  <w:p w:rsidR="0036441E" w:rsidRDefault="0036441E" w:rsidP="0036441E"/>
                </w:txbxContent>
              </v:textbox>
            </v:rect>
            <v:rect id="_x0000_s1028" style="position:absolute;left:4914;top:2034;width:2160;height:1800">
              <v:textbox>
                <w:txbxContent>
                  <w:p w:rsidR="0036441E" w:rsidRDefault="0036441E" w:rsidP="0036441E">
                    <w:pPr>
                      <w:jc w:val="center"/>
                    </w:pPr>
                    <w:r>
                      <w:t>Цели для каждой сферы бизнеса и концерна в целом</w:t>
                    </w:r>
                  </w:p>
                </w:txbxContent>
              </v:textbox>
            </v:rect>
            <v:rect id="_x0000_s1029" style="position:absolute;left:7794;top:2034;width:2340;height:1800">
              <v:textbox style="mso-next-textbox:#_x0000_s1029">
                <w:txbxContent>
                  <w:p w:rsidR="0036441E" w:rsidRDefault="0036441E" w:rsidP="0036441E">
                    <w:pPr>
                      <w:jc w:val="center"/>
                    </w:pPr>
                    <w:r>
                      <w:t>Разработка стратегии для каждой сферы бизнеса с учетом СС между ними</w:t>
                    </w:r>
                  </w:p>
                </w:txbxContent>
              </v:textbox>
            </v:rect>
            <v:rect id="_x0000_s1030" style="position:absolute;left:10854;top:2034;width:2160;height:1800">
              <v:textbox>
                <w:txbxContent>
                  <w:p w:rsidR="0036441E" w:rsidRDefault="0036441E" w:rsidP="0036441E">
                    <w:pPr>
                      <w:jc w:val="center"/>
                    </w:pPr>
                    <w:r>
                      <w:t>Реализация стратегии каждой сферы бизнеса и концерна в целом</w:t>
                    </w:r>
                  </w:p>
                </w:txbxContent>
              </v:textbox>
            </v:rect>
            <v:rect id="_x0000_s1031" style="position:absolute;left:13554;top:2034;width:1980;height:1800">
              <v:textbox>
                <w:txbxContent>
                  <w:p w:rsidR="0036441E" w:rsidRDefault="0036441E" w:rsidP="0036441E">
                    <w:pPr>
                      <w:jc w:val="center"/>
                    </w:pPr>
                  </w:p>
                  <w:p w:rsidR="0036441E" w:rsidRDefault="0036441E" w:rsidP="0036441E">
                    <w:pPr>
                      <w:jc w:val="center"/>
                    </w:pPr>
                  </w:p>
                  <w:p w:rsidR="0036441E" w:rsidRDefault="0036441E" w:rsidP="0036441E">
                    <w:pPr>
                      <w:jc w:val="center"/>
                    </w:pPr>
                    <w:r>
                      <w:t>Корректировка</w:t>
                    </w:r>
                  </w:p>
                </w:txbxContent>
              </v:textbox>
            </v:rect>
            <v:rect id="_x0000_s1032" style="position:absolute;left:2214;top:4914;width:2255;height:1440">
              <v:textbox style="mso-next-textbox:#_x0000_s1032">
                <w:txbxContent>
                  <w:p w:rsidR="0036441E" w:rsidRDefault="0036441E" w:rsidP="0036441E">
                    <w:pPr>
                      <w:jc w:val="center"/>
                    </w:pPr>
                    <w:r>
                      <w:t>Анализ конкуренции</w:t>
                    </w:r>
                  </w:p>
                </w:txbxContent>
              </v:textbox>
            </v:rect>
            <v:rect id="_x0000_s1033" style="position:absolute;left:4914;top:4914;width:2255;height:1440">
              <v:textbox style="mso-next-textbox:#_x0000_s1033">
                <w:txbxContent>
                  <w:p w:rsidR="0036441E" w:rsidRDefault="0036441E" w:rsidP="0036441E">
                    <w:pPr>
                      <w:jc w:val="center"/>
                    </w:pPr>
                    <w:r>
                      <w:t>Анализ внутренних сред сфер бизнеса</w:t>
                    </w:r>
                  </w:p>
                </w:txbxContent>
              </v:textbox>
            </v:rect>
            <v:rect id="_x0000_s1034" style="position:absolute;left:7614;top:4914;width:2255;height:1980">
              <v:textbox style="mso-next-textbox:#_x0000_s1034">
                <w:txbxContent>
                  <w:p w:rsidR="0036441E" w:rsidRDefault="0036441E" w:rsidP="0036441E">
                    <w:pPr>
                      <w:jc w:val="center"/>
                    </w:pPr>
                    <w:r>
                      <w:t>Формирование портфеля стратегий для каждой сферы бизнеса с учетом СС между ними</w:t>
                    </w:r>
                  </w:p>
                </w:txbxContent>
              </v:textbox>
            </v:rect>
            <v:rect id="_x0000_s1035" style="position:absolute;left:10854;top:4914;width:2255;height:1980">
              <v:textbox style="mso-next-textbox:#_x0000_s1035">
                <w:txbxContent>
                  <w:p w:rsidR="0036441E" w:rsidRDefault="0036441E" w:rsidP="0036441E">
                    <w:pPr>
                      <w:jc w:val="center"/>
                    </w:pPr>
                    <w:r>
                      <w:t>Разработка и внедрение единой корпоративной культуры во всех сферах бизнеса концерна</w:t>
                    </w:r>
                  </w:p>
                </w:txbxContent>
              </v:textbox>
            </v:rect>
            <v:rect id="_x0000_s1036" style="position:absolute;left:13734;top:4914;width:2255;height:1980">
              <v:textbox style="mso-next-textbox:#_x0000_s1036">
                <w:txbxContent>
                  <w:p w:rsidR="0036441E" w:rsidRDefault="0036441E" w:rsidP="0036441E">
                    <w:pPr>
                      <w:jc w:val="center"/>
                    </w:pPr>
                    <w:r>
                      <w:t>Разработка структур для всех сфер бизнеса и создание системы корпоративного управления</w:t>
                    </w:r>
                  </w:p>
                </w:txbxContent>
              </v:textbox>
            </v:rect>
            <v:line id="_x0000_s1037" style="position:absolute;flip:y" from="14539,1494" to="14539,2034"/>
            <v:line id="_x0000_s1038" style="position:absolute;flip:x" from="3654,1494" to="14634,1494"/>
            <v:line id="_x0000_s1039" style="position:absolute" from="3654,1494" to="3654,2034">
              <v:stroke endarrow="block"/>
            </v:line>
            <v:line id="_x0000_s1040" style="position:absolute" from="5994,1494" to="5994,2034">
              <v:stroke endarrow="block"/>
            </v:line>
            <v:line id="_x0000_s1041" style="position:absolute" from="8874,1494" to="8874,2034">
              <v:stroke endarrow="block"/>
            </v:line>
            <v:line id="_x0000_s1042" style="position:absolute" from="11754,1494" to="11754,2034">
              <v:stroke endarrow="block"/>
            </v:line>
            <v:line id="_x0000_s1043" style="position:absolute" from="8874,3834" to="8874,4914">
              <v:stroke endarrow="block"/>
            </v:line>
            <v:line id="_x0000_s1044" style="position:absolute;flip:x" from="3474,3834" to="8874,4914">
              <v:stroke endarrow="block"/>
            </v:line>
            <v:line id="_x0000_s1045" style="position:absolute;flip:x" from="5994,3834" to="8874,4914">
              <v:stroke endarrow="block"/>
            </v:line>
            <v:line id="_x0000_s1046" style="position:absolute" from="11934,3834" to="11934,4914">
              <v:stroke endarrow="block"/>
            </v:line>
            <v:line id="_x0000_s1047" style="position:absolute" from="11934,3834" to="14814,4914">
              <v:stroke endarrow="block"/>
            </v:line>
            <v:line id="_x0000_s1048" style="position:absolute" from="4374,2934" to="4914,2934">
              <v:stroke endarrow="block"/>
            </v:line>
            <v:line id="_x0000_s1049" style="position:absolute" from="7074,2934" to="7794,2934">
              <v:stroke endarrow="block"/>
            </v:line>
            <v:line id="_x0000_s1050" style="position:absolute" from="10134,2934" to="10854,2934">
              <v:stroke endarrow="block"/>
            </v:line>
            <v:line id="_x0000_s1051" style="position:absolute" from="13014,2934" to="13554,2934">
              <v:stroke endarrow="block"/>
            </v:line>
          </v:group>
        </w:pic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11.3</w:t>
      </w:r>
      <w:r w:rsidRPr="0036441E">
        <w:rPr>
          <w:rFonts w:ascii="Times New Roman" w:hAnsi="Times New Roman" w:cs="Times New Roman"/>
          <w:sz w:val="28"/>
          <w:szCs w:val="28"/>
        </w:rPr>
        <w:t xml:space="preserve"> - Основные этапы стратегического управления концерном</w:t>
      </w: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441E" w:rsidRPr="0036441E" w:rsidRDefault="0036441E" w:rsidP="003644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0000" w:rsidRPr="0036441E" w:rsidRDefault="006C271F" w:rsidP="0036441E">
      <w:pPr>
        <w:spacing w:after="0" w:line="240" w:lineRule="auto"/>
        <w:ind w:firstLine="709"/>
        <w:rPr>
          <w:rFonts w:ascii="Times New Roman" w:hAnsi="Times New Roman" w:cs="Times New Roman"/>
        </w:rPr>
      </w:pPr>
    </w:p>
    <w:sectPr w:rsidR="00000000" w:rsidRPr="0036441E" w:rsidSect="0036441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defaultTabStop w:val="708"/>
  <w:drawingGridHorizontalSpacing w:val="110"/>
  <w:displayHorizontalDrawingGridEvery w:val="2"/>
  <w:characterSpacingControl w:val="doNotCompress"/>
  <w:compat>
    <w:useFELayout/>
  </w:compat>
  <w:rsids>
    <w:rsidRoot w:val="0036441E"/>
    <w:rsid w:val="00364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martTagType w:namespaceuri="urn:schemas-microsoft-com:office:smarttags" w:name="metricconverter"/>
  <w:shapeDefaults>
    <o:shapedefaults v:ext="edit" spidmax="1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 Знак Знак Знак Знак Знак Знак"/>
    <w:basedOn w:val="a"/>
    <w:autoRedefine/>
    <w:rsid w:val="0036441E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en-US"/>
    </w:rPr>
  </w:style>
  <w:style w:type="character" w:customStyle="1" w:styleId="FontStyle65">
    <w:name w:val="Font Style65"/>
    <w:basedOn w:val="a0"/>
    <w:rsid w:val="0036441E"/>
    <w:rPr>
      <w:rFonts w:ascii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64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44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3201</Words>
  <Characters>18251</Characters>
  <Application>Microsoft Office Word</Application>
  <DocSecurity>0</DocSecurity>
  <Lines>152</Lines>
  <Paragraphs>42</Paragraphs>
  <ScaleCrop>false</ScaleCrop>
  <Company/>
  <LinksUpToDate>false</LinksUpToDate>
  <CharactersWithSpaces>21410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EKolos</dc:creator>
  <cp:keywords/>
  <dc:description/>
  <cp:lastModifiedBy>EKolos</cp:lastModifiedBy>
  <cp:revision>3</cp:revision>
  <dcterms:created xsi:type="dcterms:W3CDTF">2013-01-12T03:48:00Z</dcterms:created>
  <dcterms:modified xsi:type="dcterms:W3CDTF">2013-01-12T03:53:00Z</dcterms:modified>
</cp:coreProperties>
</file>